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23" w:rsidRDefault="002C5023" w:rsidP="002C50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Сообщение о проведении годового Общего собрания акционеров </w:t>
      </w:r>
    </w:p>
    <w:p w:rsidR="002C5023" w:rsidRDefault="002C5023" w:rsidP="002C50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публичного акционерного общества </w:t>
      </w:r>
    </w:p>
    <w:p w:rsidR="002C5023" w:rsidRDefault="002C5023" w:rsidP="002C50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«Тюменский проектный и научно-исследовательский институт нефтяной и газовой промышленности им. В.И. Муравленко» (ПАО «Гипротюменнефтегаз»)</w:t>
      </w:r>
    </w:p>
    <w:p w:rsidR="002C5023" w:rsidRDefault="002C5023" w:rsidP="002C5023">
      <w:pPr>
        <w:jc w:val="center"/>
        <w:rPr>
          <w:b/>
          <w:sz w:val="22"/>
          <w:szCs w:val="22"/>
        </w:rPr>
      </w:pPr>
    </w:p>
    <w:p w:rsidR="002C5023" w:rsidRDefault="002C5023" w:rsidP="002C5023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Уважаемый акционер!</w:t>
      </w:r>
    </w:p>
    <w:p w:rsidR="002C5023" w:rsidRDefault="002C5023" w:rsidP="002C5023">
      <w:pPr>
        <w:jc w:val="center"/>
        <w:rPr>
          <w:b/>
          <w:i/>
          <w:sz w:val="22"/>
          <w:szCs w:val="22"/>
        </w:rPr>
      </w:pPr>
    </w:p>
    <w:p w:rsidR="002C5023" w:rsidRDefault="002C5023" w:rsidP="002C502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Сообщаем, что годовое Общее собрание акционеров ПАО «Гипротюменнефтегаз» за 2019 г.  (далее – Общество) проводится в форме совместного присутствия акционеров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годового Общего собрания акционеров.</w:t>
      </w:r>
    </w:p>
    <w:p w:rsidR="002C5023" w:rsidRDefault="002C5023" w:rsidP="002C5023">
      <w:pPr>
        <w:jc w:val="both"/>
        <w:rPr>
          <w:sz w:val="22"/>
          <w:szCs w:val="22"/>
        </w:rPr>
      </w:pPr>
    </w:p>
    <w:p w:rsidR="002C5023" w:rsidRDefault="002C5023" w:rsidP="002C50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нахождение Общества: </w:t>
      </w:r>
      <w:r>
        <w:rPr>
          <w:b/>
          <w:sz w:val="22"/>
          <w:szCs w:val="22"/>
        </w:rPr>
        <w:t>г. Тюмень (городской округ город Тюмень).</w:t>
      </w:r>
    </w:p>
    <w:p w:rsidR="002C5023" w:rsidRDefault="002C5023" w:rsidP="002C50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и время проведения годового Общего собрания акционеров Общества: </w:t>
      </w:r>
      <w:r>
        <w:rPr>
          <w:b/>
          <w:sz w:val="22"/>
          <w:szCs w:val="22"/>
        </w:rPr>
        <w:t>«13» июля 2020 года в 11 часов 00 минут (время местное).</w:t>
      </w:r>
    </w:p>
    <w:p w:rsidR="002C5023" w:rsidRDefault="002C5023" w:rsidP="002C50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поведения собрания: </w:t>
      </w:r>
      <w:r>
        <w:rPr>
          <w:b/>
          <w:sz w:val="22"/>
          <w:szCs w:val="22"/>
        </w:rPr>
        <w:t>РФ, Тюменская область,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г. Тюмень, ул. Республики, д. 62, 6 этаж, конференц-зал.</w:t>
      </w:r>
      <w:r>
        <w:rPr>
          <w:sz w:val="22"/>
          <w:szCs w:val="22"/>
        </w:rPr>
        <w:t xml:space="preserve"> </w:t>
      </w:r>
    </w:p>
    <w:p w:rsidR="002C5023" w:rsidRDefault="002C5023" w:rsidP="002C502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Время начала регистрации участников собрания: </w:t>
      </w:r>
      <w:r>
        <w:rPr>
          <w:b/>
          <w:sz w:val="22"/>
          <w:szCs w:val="22"/>
        </w:rPr>
        <w:t>10 часов 30 минут (время местное).</w:t>
      </w:r>
    </w:p>
    <w:p w:rsidR="002C5023" w:rsidRDefault="002C5023" w:rsidP="002C5023">
      <w:pPr>
        <w:jc w:val="both"/>
        <w:rPr>
          <w:b/>
          <w:sz w:val="22"/>
          <w:szCs w:val="22"/>
        </w:rPr>
      </w:pPr>
      <w:r>
        <w:rPr>
          <w:rFonts w:eastAsia="MS Mincho"/>
          <w:sz w:val="22"/>
          <w:szCs w:val="22"/>
        </w:rPr>
        <w:t>Дата составления списка лиц, имеющих право на участие в годовом Общем собрании акционеров</w:t>
      </w:r>
      <w:r>
        <w:rPr>
          <w:sz w:val="22"/>
          <w:szCs w:val="22"/>
        </w:rPr>
        <w:t xml:space="preserve"> Общества </w:t>
      </w:r>
      <w:r>
        <w:rPr>
          <w:b/>
          <w:sz w:val="22"/>
          <w:szCs w:val="22"/>
        </w:rPr>
        <w:t>– «18» июня 2020 года.</w:t>
      </w:r>
    </w:p>
    <w:p w:rsidR="002C5023" w:rsidRDefault="002C5023" w:rsidP="002C5023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Категории (типы) акций, владельцы которых имеют право голоса по всем вопросам повестки дня годового Общего собрания акционеров Общества:</w:t>
      </w:r>
      <w:r>
        <w:rPr>
          <w:sz w:val="22"/>
          <w:szCs w:val="22"/>
        </w:rPr>
        <w:t xml:space="preserve"> акции обыкновенные именные бездокументарные, государственный регистрационный номер выпуска:1-01-31979-D; дата регистрации выпуска: 17.05.1994, изменение регистрационного номера выпуска: 26.05.2009.</w:t>
      </w:r>
    </w:p>
    <w:p w:rsidR="002C5023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</w:p>
    <w:p w:rsidR="002C5023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 годового Общего собрания акционеров Общества:</w:t>
      </w:r>
    </w:p>
    <w:p w:rsidR="002C5023" w:rsidRDefault="002C5023" w:rsidP="002C5023">
      <w:pPr>
        <w:pStyle w:val="a3"/>
        <w:ind w:left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1) Утверждение годового отчета Общества за 2019 г.</w:t>
      </w:r>
    </w:p>
    <w:p w:rsidR="002C5023" w:rsidRDefault="002C5023" w:rsidP="002C5023">
      <w:pPr>
        <w:pStyle w:val="a3"/>
        <w:ind w:firstLine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2) Утверждение годовой бухгалтерской (финансовой) отчетности Общества за 2019 г.</w:t>
      </w:r>
    </w:p>
    <w:p w:rsidR="002C5023" w:rsidRDefault="002C5023" w:rsidP="002C5023">
      <w:pPr>
        <w:pStyle w:val="a3"/>
        <w:ind w:firstLine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3) Утверждение распределения прибыли Общества по результатам 2019 года.</w:t>
      </w:r>
    </w:p>
    <w:p w:rsidR="002C5023" w:rsidRDefault="002C5023" w:rsidP="002C5023">
      <w:pPr>
        <w:pStyle w:val="a3"/>
        <w:ind w:firstLine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4) О размере, сроках и форме выплаты дивидендов по результатам 2019 года.</w:t>
      </w:r>
    </w:p>
    <w:p w:rsidR="002C5023" w:rsidRDefault="002C5023" w:rsidP="002C5023">
      <w:pPr>
        <w:pStyle w:val="a3"/>
        <w:ind w:firstLine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5) Избрание членов Совета директоров Общества.</w:t>
      </w:r>
    </w:p>
    <w:p w:rsidR="002C5023" w:rsidRDefault="002C5023" w:rsidP="002C5023">
      <w:pPr>
        <w:pStyle w:val="a3"/>
        <w:ind w:firstLine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6) Избрание членов Ревизионной комиссии Общества.</w:t>
      </w:r>
    </w:p>
    <w:p w:rsidR="002C5023" w:rsidRDefault="002C5023" w:rsidP="002C5023">
      <w:pPr>
        <w:pStyle w:val="a3"/>
        <w:ind w:firstLine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7) Утверждение аудитора Общества.</w:t>
      </w:r>
    </w:p>
    <w:p w:rsidR="002C5023" w:rsidRDefault="002C5023" w:rsidP="002C5023">
      <w:pPr>
        <w:pStyle w:val="a3"/>
        <w:ind w:firstLine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8) Утверждение устава Общества в новой редакции. </w:t>
      </w:r>
    </w:p>
    <w:p w:rsidR="002C5023" w:rsidRDefault="002C5023" w:rsidP="002C5023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Calibri"/>
          <w:sz w:val="21"/>
          <w:szCs w:val="21"/>
        </w:rPr>
        <w:t>9) У</w:t>
      </w:r>
      <w:r>
        <w:rPr>
          <w:sz w:val="22"/>
          <w:szCs w:val="22"/>
        </w:rPr>
        <w:t xml:space="preserve">тверждение решения о передаче полномочий единоличного исполнительного органа Общества управляющей организации и о продлении действия Договора № 1УК-ГТНГ-06/10 о передаче полномочий единоличного исполнительного органа Общества от 29.06.2010 г. </w:t>
      </w:r>
    </w:p>
    <w:p w:rsidR="002C5023" w:rsidRDefault="002C5023" w:rsidP="002C5023">
      <w:pPr>
        <w:pStyle w:val="a3"/>
        <w:ind w:firstLine="567"/>
        <w:jc w:val="both"/>
        <w:rPr>
          <w:rFonts w:eastAsia="Calibri"/>
          <w:sz w:val="21"/>
          <w:szCs w:val="21"/>
        </w:rPr>
      </w:pPr>
    </w:p>
    <w:p w:rsidR="002C5023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ascii="Arial" w:hAnsi="Arial" w:cs="Arial"/>
          <w:b/>
          <w:sz w:val="22"/>
          <w:szCs w:val="22"/>
        </w:rPr>
      </w:pPr>
    </w:p>
    <w:p w:rsidR="002C5023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материалов, предоставляемых акционерам </w:t>
      </w:r>
    </w:p>
    <w:p w:rsidR="002C5023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 подготовке к проведению годового Общего собрания акционеров Общества:</w:t>
      </w:r>
    </w:p>
    <w:p w:rsidR="002C5023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</w:p>
    <w:p w:rsidR="002C5023" w:rsidRDefault="002C5023" w:rsidP="002C5023">
      <w:pPr>
        <w:pStyle w:val="a3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1) Информационное сообщение о проведении годового Общего собрания акционеров Общества;</w:t>
      </w:r>
    </w:p>
    <w:p w:rsidR="002C5023" w:rsidRDefault="002C5023" w:rsidP="002C5023">
      <w:pPr>
        <w:pStyle w:val="a3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2) Годовой отчет Общества за 2019 г. (к первому вопросу повестки дня «Утверждение годового отчета Общества»);</w:t>
      </w:r>
    </w:p>
    <w:p w:rsidR="002C5023" w:rsidRDefault="002C5023" w:rsidP="002C5023">
      <w:pPr>
        <w:pStyle w:val="a3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3) Годовая бухгалтерская (финансовая) отчетность Общества за 2019 г. (ко второму вопросу повестки дня «Утверждение годовой бухгалтерской (финансовой) отчетности Общества»);</w:t>
      </w:r>
    </w:p>
    <w:p w:rsidR="002C5023" w:rsidRDefault="002C5023" w:rsidP="002C5023">
      <w:pPr>
        <w:pStyle w:val="a3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4) Заключение </w:t>
      </w:r>
      <w:r>
        <w:rPr>
          <w:sz w:val="21"/>
          <w:szCs w:val="21"/>
        </w:rPr>
        <w:t>аудитора Общества по результатам аудита годовой бухгалтерской отчетности Общества за 2019 год</w:t>
      </w:r>
      <w:r>
        <w:rPr>
          <w:rFonts w:eastAsia="Calibri"/>
          <w:sz w:val="21"/>
          <w:szCs w:val="21"/>
        </w:rPr>
        <w:t xml:space="preserve"> (ко второму вопросу повестки дня «Утверждение годовой бухгалтерской (финансовой) отчетности Общества»);</w:t>
      </w:r>
    </w:p>
    <w:p w:rsidR="002C5023" w:rsidRDefault="002C5023" w:rsidP="002C5023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5) Заключение Ревизионной комиссии Общества по результатам проверки финансово-хозяйственной деятельности Общества 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за 2019 год и о достоверности данных, содержащихся в годовом отчете, годовой бухгалтерской отчетности Общества за 2019 г. (к первому вопросу повестки дня «Утверждение годового отчета Общества» и второму вопросу повестки дня «Утверждение годовой бухгалтерской (финансовой) отчетности Общества»);</w:t>
      </w:r>
    </w:p>
    <w:p w:rsidR="002C5023" w:rsidRDefault="002C5023" w:rsidP="002C5023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eastAsia="en-US"/>
        </w:rPr>
        <w:lastRenderedPageBreak/>
        <w:t>6) Рекомендации Совета директоров Общества по распределению прибыли Общества по результатам 2019 года, в том числе по размеру дивидендов по акциям Общества по результатам 2019 года и порядку их выплаты (к третьему вопросу повестки дня «Утверждение распределения прибыли Общества по результатам 2019 года» и четвертому вопросу повестки дня «О размере, сроках и форме выплаты дивидендов по результатам 2019 года»);</w:t>
      </w:r>
    </w:p>
    <w:p w:rsidR="002C5023" w:rsidRDefault="002C5023" w:rsidP="002C5023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eastAsia="en-US"/>
        </w:rPr>
        <w:t>7) Сведения о кандидатах в Совет директоров и Ревизионную комиссию Общества, в том числе о наличии их письменных согласий на избрание (к пятому вопросу повестки дня «Избрание членов Совета директоров Общества» и шестому вопросу повестки дня «Избрание членов Ревизионной комиссии Общества»);</w:t>
      </w:r>
    </w:p>
    <w:p w:rsidR="002C5023" w:rsidRDefault="002C5023" w:rsidP="002C5023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eastAsia="en-US"/>
        </w:rPr>
        <w:t>8) Сведения о кандидате в аудиторы Общества (к седьмому вопросу повестки дня «Утверждение аудитора Общества»);</w:t>
      </w:r>
    </w:p>
    <w:p w:rsidR="002C5023" w:rsidRDefault="002C5023" w:rsidP="002C5023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eastAsia="en-US"/>
        </w:rPr>
        <w:t>9) Проекты решений годового Общего собрания акционеров Общества;</w:t>
      </w:r>
    </w:p>
    <w:p w:rsidR="002C5023" w:rsidRDefault="002C5023" w:rsidP="002C5023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eastAsia="en-US"/>
        </w:rPr>
        <w:t>10) Проект новой редакции устава Общества.</w:t>
      </w:r>
    </w:p>
    <w:p w:rsidR="002C5023" w:rsidRDefault="002C5023" w:rsidP="002C5023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eastAsia="en-US"/>
        </w:rPr>
        <w:t>11) Отчет о заключенных Обществом в 2019 г. сделках, в совершении которых имеется заинтересованность.</w:t>
      </w:r>
    </w:p>
    <w:p w:rsidR="002C5023" w:rsidRDefault="002C5023" w:rsidP="002C5023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2C5023" w:rsidRDefault="002C5023" w:rsidP="002C5023">
      <w:pPr>
        <w:pStyle w:val="a3"/>
        <w:ind w:firstLine="720"/>
        <w:jc w:val="both"/>
        <w:rPr>
          <w:rFonts w:eastAsia="Calibri"/>
          <w:b/>
          <w:sz w:val="21"/>
          <w:szCs w:val="21"/>
        </w:rPr>
      </w:pPr>
      <w:r>
        <w:rPr>
          <w:bCs/>
          <w:sz w:val="22"/>
          <w:szCs w:val="22"/>
        </w:rPr>
        <w:t xml:space="preserve">Акционеры Общества могут ознакомиться с </w:t>
      </w:r>
      <w:r>
        <w:rPr>
          <w:sz w:val="22"/>
          <w:szCs w:val="22"/>
        </w:rPr>
        <w:t xml:space="preserve">информацией (материалами), предоставляемыми при подготовке к проведению Общего собрания акционеров Общества, в течение 21 дня до даты проведения Общего собрания акционеров </w:t>
      </w:r>
      <w:r>
        <w:rPr>
          <w:b/>
          <w:sz w:val="21"/>
          <w:szCs w:val="21"/>
        </w:rPr>
        <w:t xml:space="preserve">с «21» июня 2020 года по «12» июля 2020 года с 10 часов 00 минут до 13 часов 00 минут местного времени по рабочим дням по адресу места нахождения Общества: Российская Федерация, г. Тюмень, ул. Республики, д. 62 (юридический отдел: тел. </w:t>
      </w:r>
      <w:r>
        <w:rPr>
          <w:rFonts w:eastAsia="Calibri"/>
          <w:b/>
          <w:sz w:val="21"/>
          <w:szCs w:val="21"/>
        </w:rPr>
        <w:t xml:space="preserve">(3452) 46-52-12, </w:t>
      </w:r>
      <w:proofErr w:type="spellStart"/>
      <w:r>
        <w:rPr>
          <w:rFonts w:eastAsia="Calibri"/>
          <w:b/>
          <w:sz w:val="21"/>
          <w:szCs w:val="21"/>
        </w:rPr>
        <w:t>вн</w:t>
      </w:r>
      <w:proofErr w:type="spellEnd"/>
      <w:r>
        <w:rPr>
          <w:rFonts w:eastAsia="Calibri"/>
          <w:b/>
          <w:sz w:val="21"/>
          <w:szCs w:val="21"/>
        </w:rPr>
        <w:t xml:space="preserve">. 23-02, (3452) 46-36-90, </w:t>
      </w:r>
      <w:proofErr w:type="spellStart"/>
      <w:r>
        <w:rPr>
          <w:rFonts w:eastAsia="Calibri"/>
          <w:b/>
          <w:sz w:val="21"/>
          <w:szCs w:val="21"/>
        </w:rPr>
        <w:t>вн</w:t>
      </w:r>
      <w:proofErr w:type="spellEnd"/>
      <w:r>
        <w:rPr>
          <w:rFonts w:eastAsia="Calibri"/>
          <w:b/>
          <w:sz w:val="21"/>
          <w:szCs w:val="21"/>
        </w:rPr>
        <w:t>. 24-41</w:t>
      </w:r>
      <w:r>
        <w:rPr>
          <w:b/>
          <w:sz w:val="21"/>
          <w:szCs w:val="21"/>
        </w:rPr>
        <w:t xml:space="preserve">) и «13» июля 2020 года с 10.30 часов по местному времени до закрытия Общего собрания акционеров Общества.  </w:t>
      </w:r>
    </w:p>
    <w:p w:rsidR="002C5023" w:rsidRDefault="002C5023" w:rsidP="002C5023">
      <w:pPr>
        <w:jc w:val="both"/>
        <w:rPr>
          <w:sz w:val="22"/>
          <w:szCs w:val="22"/>
        </w:rPr>
      </w:pPr>
    </w:p>
    <w:p w:rsidR="002C5023" w:rsidRDefault="002C5023" w:rsidP="002C502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Бюллетени для голосования на собрании Вам будут направлены не позднее двадцати одного календарного дня до начала собрания. Вы, как лицо, включенное в список лиц, имеющих право на участие в собрании (ваш представитель), вправе принять участие в собрании либо направить заполненные Вами бюллетени </w:t>
      </w:r>
      <w:r>
        <w:rPr>
          <w:b/>
          <w:sz w:val="22"/>
          <w:szCs w:val="22"/>
        </w:rPr>
        <w:t>по почтовому адресу Общества: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shd w:val="clear" w:color="auto" w:fill="FFFFFF"/>
        </w:rPr>
        <w:t xml:space="preserve">625000, РФ, Тюменская область, </w:t>
      </w:r>
      <w:r>
        <w:rPr>
          <w:b/>
          <w:sz w:val="22"/>
          <w:szCs w:val="22"/>
        </w:rPr>
        <w:t>г. Тюмень, ул. Республики, 62</w:t>
      </w:r>
      <w:r>
        <w:rPr>
          <w:b/>
          <w:sz w:val="22"/>
          <w:szCs w:val="22"/>
          <w:shd w:val="clear" w:color="auto" w:fill="FFFFFF"/>
        </w:rPr>
        <w:t xml:space="preserve">, </w:t>
      </w:r>
      <w:r>
        <w:rPr>
          <w:b/>
          <w:sz w:val="22"/>
          <w:szCs w:val="22"/>
        </w:rPr>
        <w:t>ПАО «Гипротюменнефтегаз»</w:t>
      </w:r>
      <w:r>
        <w:rPr>
          <w:b/>
          <w:sz w:val="22"/>
          <w:szCs w:val="22"/>
          <w:shd w:val="clear" w:color="auto" w:fill="FFFFFF"/>
        </w:rPr>
        <w:t xml:space="preserve"> (с отметкой: Совету директоров).</w:t>
      </w:r>
    </w:p>
    <w:p w:rsidR="002C5023" w:rsidRDefault="002C5023" w:rsidP="002C5023">
      <w:pPr>
        <w:jc w:val="both"/>
        <w:rPr>
          <w:b/>
          <w:sz w:val="22"/>
          <w:szCs w:val="22"/>
        </w:rPr>
      </w:pPr>
    </w:p>
    <w:p w:rsidR="002C5023" w:rsidRDefault="002C5023" w:rsidP="002C502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Заполненные бюллетени для голосования, полученные </w:t>
      </w:r>
      <w:r>
        <w:rPr>
          <w:b/>
          <w:sz w:val="22"/>
          <w:szCs w:val="22"/>
        </w:rPr>
        <w:t>Обществом</w:t>
      </w:r>
      <w:r>
        <w:rPr>
          <w:sz w:val="22"/>
          <w:szCs w:val="22"/>
        </w:rPr>
        <w:t xml:space="preserve"> не позднее, чем за два дня до даты проведения годового Общего собрания акционеров Общества, учитываются при определении кворума и подведении итогов голосования. Акционеры, бюллетени которых будут получены Обществом в указанный срок, считаются принявшими участие в собрании.</w:t>
      </w:r>
    </w:p>
    <w:p w:rsidR="002C5023" w:rsidRDefault="002C5023" w:rsidP="002C5023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Бюллетени для голосования, полученные Обществом после «10» июля 2020 года (включительно) в определении кворума и подведении итогов голосования учитываться не будут.</w:t>
      </w:r>
    </w:p>
    <w:p w:rsidR="002C5023" w:rsidRDefault="002C5023" w:rsidP="002C5023">
      <w:pPr>
        <w:ind w:right="1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регистрации на собрании участнику необходимо иметь при себе </w:t>
      </w:r>
      <w:r>
        <w:rPr>
          <w:b/>
          <w:bCs/>
          <w:sz w:val="22"/>
          <w:szCs w:val="22"/>
        </w:rPr>
        <w:t>паспорт</w:t>
      </w:r>
      <w:r>
        <w:rPr>
          <w:sz w:val="22"/>
          <w:szCs w:val="22"/>
        </w:rPr>
        <w:t xml:space="preserve"> или иной документ, удостоверяющий личность, а для представителя акционера — также доверенность на право участия в годовом общем собрании акционеров и (или) документы, подтверждающие его право действовать от имени акционера без доверенности. При участии в работе общего собрания представителей акционеров доверенность должна быть оформлена в соответствии с требованиями пункта 1 ст. 57 Федерального закона «Об акционерных обществах», пунктов 3 и 4 ст. 185.1 Гражданского кодекса РФ или удостоверена нотариально.</w:t>
      </w:r>
    </w:p>
    <w:p w:rsidR="002C5023" w:rsidRDefault="002C5023" w:rsidP="002C5023">
      <w:pPr>
        <w:ind w:right="1" w:firstLine="360"/>
        <w:jc w:val="both"/>
        <w:rPr>
          <w:sz w:val="22"/>
          <w:szCs w:val="22"/>
        </w:rPr>
      </w:pPr>
    </w:p>
    <w:p w:rsidR="002C5023" w:rsidRDefault="002C5023" w:rsidP="002C5023">
      <w:pPr>
        <w:rPr>
          <w:sz w:val="22"/>
          <w:szCs w:val="22"/>
        </w:rPr>
      </w:pPr>
      <w:r>
        <w:rPr>
          <w:sz w:val="22"/>
          <w:szCs w:val="22"/>
        </w:rPr>
        <w:t xml:space="preserve">Телефон для справок: (3452) 537-720.           </w:t>
      </w:r>
      <w:r>
        <w:rPr>
          <w:b/>
          <w:sz w:val="22"/>
          <w:szCs w:val="22"/>
        </w:rPr>
        <w:t xml:space="preserve"> Совет директоров ПАО «Гипротюменнефтегаз».</w:t>
      </w:r>
    </w:p>
    <w:p w:rsidR="002C5023" w:rsidRDefault="002C5023" w:rsidP="002C502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01C27" w:rsidRPr="002C5023" w:rsidRDefault="00A01C27" w:rsidP="002C5023">
      <w:bookmarkStart w:id="0" w:name="_GoBack"/>
      <w:bookmarkEnd w:id="0"/>
    </w:p>
    <w:sectPr w:rsidR="00A01C27" w:rsidRPr="002C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23"/>
    <w:rsid w:val="00151623"/>
    <w:rsid w:val="002C5023"/>
    <w:rsid w:val="00333886"/>
    <w:rsid w:val="00343E33"/>
    <w:rsid w:val="0046465D"/>
    <w:rsid w:val="00A0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BCFE-07C4-4564-83CE-963AA803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2</cp:revision>
  <dcterms:created xsi:type="dcterms:W3CDTF">2020-06-01T05:48:00Z</dcterms:created>
  <dcterms:modified xsi:type="dcterms:W3CDTF">2020-06-01T05:48:00Z</dcterms:modified>
</cp:coreProperties>
</file>